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3D" w:rsidRPr="005D413B" w:rsidRDefault="00B87850" w:rsidP="00F7463D">
      <w:pPr>
        <w:spacing w:after="0"/>
        <w:ind w:left="6480" w:firstLine="1080"/>
        <w:rPr>
          <w:rFonts w:ascii="GHEA Grapalat" w:eastAsia="Times New Roman" w:hAnsi="GHEA Grapalat" w:cs="Sylfaen"/>
          <w:b/>
          <w:bCs/>
          <w:i/>
          <w:lang w:val="hy-AM"/>
        </w:rPr>
      </w:pPr>
      <w:r w:rsidRPr="005D413B">
        <w:rPr>
          <w:rFonts w:ascii="GHEA Grapalat" w:eastAsia="Times New Roman" w:hAnsi="GHEA Grapalat" w:cs="Calibri"/>
          <w:b/>
          <w:color w:val="000000"/>
        </w:rPr>
        <w:t xml:space="preserve">  </w:t>
      </w:r>
      <w:r w:rsidR="00AD72E6" w:rsidRPr="005D413B">
        <w:rPr>
          <w:rFonts w:ascii="Calibri" w:eastAsia="Times New Roman" w:hAnsi="Calibri" w:cs="Calibri"/>
          <w:b/>
          <w:color w:val="000000"/>
        </w:rPr>
        <w:t> </w:t>
      </w:r>
      <w:r w:rsidR="00F7463D" w:rsidRPr="005D413B">
        <w:rPr>
          <w:rFonts w:ascii="GHEA Grapalat" w:eastAsia="Times New Roman" w:hAnsi="GHEA Grapalat" w:cs="Sylfaen"/>
          <w:b/>
          <w:bCs/>
          <w:i/>
        </w:rPr>
        <w:t>Հավելված</w:t>
      </w:r>
      <w:r w:rsidR="005D413B" w:rsidRPr="005D413B">
        <w:rPr>
          <w:rFonts w:ascii="GHEA Grapalat" w:eastAsia="Times New Roman" w:hAnsi="GHEA Grapalat" w:cs="Sylfaen"/>
          <w:b/>
          <w:bCs/>
          <w:i/>
        </w:rPr>
        <w:br/>
      </w:r>
      <w:r w:rsidR="005D413B" w:rsidRPr="005D413B">
        <w:rPr>
          <w:rFonts w:ascii="GHEA Grapalat" w:eastAsia="Times New Roman" w:hAnsi="GHEA Grapalat" w:cs="Sylfaen"/>
          <w:b/>
          <w:bCs/>
          <w:i/>
          <w:lang w:val="hy-AM"/>
        </w:rPr>
        <w:t>Հաստատված է համայնքի ավագանու 14</w:t>
      </w:r>
      <w:r w:rsidR="005D413B" w:rsidRPr="005D413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="005D413B" w:rsidRPr="005D413B">
        <w:rPr>
          <w:rFonts w:ascii="GHEA Grapalat" w:eastAsia="Times New Roman" w:hAnsi="GHEA Grapalat" w:cs="Sylfaen"/>
          <w:b/>
          <w:bCs/>
          <w:i/>
          <w:lang w:val="hy-AM"/>
        </w:rPr>
        <w:t>02</w:t>
      </w:r>
      <w:r w:rsidR="005D413B" w:rsidRPr="005D413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="005D413B" w:rsidRPr="005D413B">
        <w:rPr>
          <w:rFonts w:ascii="GHEA Grapalat" w:eastAsia="Times New Roman" w:hAnsi="GHEA Grapalat" w:cs="Sylfaen"/>
          <w:b/>
          <w:bCs/>
          <w:i/>
          <w:lang w:val="hy-AM"/>
        </w:rPr>
        <w:t>2024</w:t>
      </w:r>
      <w:r w:rsidR="005D413B" w:rsidRPr="005D413B">
        <w:rPr>
          <w:rFonts w:ascii="GHEA Grapalat" w:eastAsia="Times New Roman" w:hAnsi="GHEA Grapalat" w:cs="GHEA Grapalat"/>
          <w:b/>
          <w:bCs/>
          <w:i/>
          <w:lang w:val="hy-AM"/>
        </w:rPr>
        <w:t>թ</w:t>
      </w:r>
      <w:r w:rsidR="005D413B" w:rsidRPr="005D413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="005D413B" w:rsidRPr="005D413B">
        <w:rPr>
          <w:rFonts w:ascii="GHEA Grapalat" w:eastAsia="Times New Roman" w:hAnsi="GHEA Grapalat" w:cs="Sylfaen"/>
          <w:b/>
          <w:bCs/>
          <w:i/>
          <w:lang w:val="hy-AM"/>
        </w:rPr>
        <w:t xml:space="preserve"> </w:t>
      </w:r>
      <w:r w:rsidR="005D413B" w:rsidRPr="005D413B">
        <w:rPr>
          <w:rFonts w:ascii="GHEA Grapalat" w:eastAsia="Times New Roman" w:hAnsi="GHEA Grapalat" w:cs="Sylfaen"/>
          <w:b/>
          <w:bCs/>
          <w:i/>
        </w:rPr>
        <w:t>N</w:t>
      </w:r>
      <w:r w:rsidR="005D413B" w:rsidRPr="005D413B">
        <w:rPr>
          <w:rFonts w:ascii="GHEA Grapalat" w:eastAsia="Times New Roman" w:hAnsi="GHEA Grapalat" w:cs="Sylfaen"/>
          <w:b/>
          <w:bCs/>
          <w:i/>
          <w:lang w:val="hy-AM"/>
        </w:rPr>
        <w:t xml:space="preserve"> </w:t>
      </w:r>
      <w:r w:rsidR="00E3138B">
        <w:rPr>
          <w:rFonts w:ascii="GHEA Grapalat" w:eastAsia="Times New Roman" w:hAnsi="GHEA Grapalat" w:cs="Sylfaen"/>
          <w:b/>
          <w:bCs/>
          <w:i/>
          <w:lang w:val="hy-AM"/>
        </w:rPr>
        <w:t>5-Ա</w:t>
      </w:r>
      <w:bookmarkStart w:id="0" w:name="_GoBack"/>
      <w:bookmarkEnd w:id="0"/>
      <w:r w:rsidR="005D413B" w:rsidRPr="005D413B">
        <w:rPr>
          <w:rFonts w:ascii="GHEA Grapalat" w:eastAsia="Times New Roman" w:hAnsi="GHEA Grapalat" w:cs="Sylfaen"/>
          <w:b/>
          <w:bCs/>
          <w:i/>
          <w:lang w:val="hy-AM"/>
        </w:rPr>
        <w:t xml:space="preserve"> որոշմամբ</w:t>
      </w:r>
    </w:p>
    <w:p w:rsidR="00AD72E6" w:rsidRPr="005D413B" w:rsidRDefault="00AD72E6" w:rsidP="00F7463D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E61FAD" w:rsidRPr="005D413B" w:rsidRDefault="00E61FAD" w:rsidP="00AD72E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</w:rPr>
      </w:pPr>
    </w:p>
    <w:p w:rsidR="00AD72E6" w:rsidRPr="005D413B" w:rsidRDefault="00AD72E6" w:rsidP="00AD72E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 Ա Ր Գ</w:t>
      </w:r>
    </w:p>
    <w:p w:rsidR="00AD72E6" w:rsidRPr="005D413B" w:rsidRDefault="00AD72E6" w:rsidP="00AD72E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</w:rPr>
      </w:pPr>
      <w:r w:rsidRPr="005D413B">
        <w:rPr>
          <w:rFonts w:ascii="Calibri" w:eastAsia="Times New Roman" w:hAnsi="Calibri" w:cs="Calibri"/>
          <w:color w:val="000000"/>
        </w:rPr>
        <w:t> </w:t>
      </w:r>
    </w:p>
    <w:p w:rsidR="00AD72E6" w:rsidRPr="005D413B" w:rsidRDefault="001D5D27" w:rsidP="00AD72E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ՀՀ ԱՐԱՐԱՏԻ</w:t>
      </w:r>
      <w:r w:rsidR="002A5841" w:rsidRPr="005D413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ՄԱՐԶԻ </w:t>
      </w:r>
      <w:r w:rsidR="003E4AD9" w:rsidRPr="005D413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ԱՐԱՐԱՏ</w:t>
      </w:r>
      <w:r w:rsidR="00F36BD4" w:rsidRPr="005D413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ՀԱՄԱՅՆՔԻ ՎԱՐՉԱԿԱՆ ՏԱՐԱԾՔՈՒՄ ԳՏՆՎՈՂ </w:t>
      </w:r>
      <w:r w:rsidR="00AD72E6" w:rsidRPr="005D413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ԱՐՈՏԱՎԱՅՐԵՐԻ ԵՎ ԽՈՏՀԱՐՔՆԵՐԻ ՕԳՏԱԳՈՐԾՄԱՆ</w:t>
      </w:r>
    </w:p>
    <w:p w:rsidR="00AD72E6" w:rsidRPr="005D413B" w:rsidRDefault="00AD72E6" w:rsidP="00AD72E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</w:rPr>
      </w:pPr>
      <w:r w:rsidRPr="005D413B">
        <w:rPr>
          <w:rFonts w:ascii="Calibri" w:eastAsia="Times New Roman" w:hAnsi="Calibri" w:cs="Calibri"/>
          <w:color w:val="000000"/>
        </w:rPr>
        <w:t> </w:t>
      </w:r>
    </w:p>
    <w:p w:rsidR="00AD72E6" w:rsidRPr="005D413B" w:rsidRDefault="00AD72E6" w:rsidP="00AD72E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Սույն կարգով սահմանվում են </w:t>
      </w:r>
      <w:r w:rsidR="003E4AD9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Արարատ</w:t>
      </w:r>
      <w:r w:rsidR="00F36BD4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համայնքի վարչական տարածքում գտնվող 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</w:t>
      </w:r>
      <w:r w:rsidR="008D295B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յրերի</w:t>
      </w:r>
      <w:r w:rsidR="00BB795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</w:t>
      </w:r>
      <w:r w:rsidR="001D5D27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խոտհարքների կառավարման,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արդյունավետ օգտագործման պայմանները:</w:t>
      </w:r>
    </w:p>
    <w:p w:rsidR="00AD72E6" w:rsidRPr="005D413B" w:rsidRDefault="001D5D27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Սույն կարգի նպատակները</w:t>
      </w:r>
      <w:r w:rsidR="00BB795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, խնդիրները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E7553B" w:rsidRPr="005D413B" w:rsidRDefault="003E4AD9" w:rsidP="00E61FAD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Արարատ</w:t>
      </w:r>
      <w:r w:rsidR="002A584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համայնքի</w:t>
      </w:r>
      <w:r w:rsidR="00BB795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արոտավայրերի</w:t>
      </w:r>
      <w:r w:rsidR="001D5D27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խոտհարքների</w:t>
      </w:r>
      <w:r w:rsidR="001D5D27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կայուն պահպանության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ու արդյու</w:t>
      </w:r>
      <w:r w:rsidR="001D5D27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նավետ օգտագործման գործընթացների նպաստ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</w:t>
      </w:r>
      <w:r w:rsidR="001D5D27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ան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ը.</w:t>
      </w:r>
      <w:r w:rsidR="00E7553B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E7553B" w:rsidRPr="005D413B" w:rsidRDefault="00BB7951" w:rsidP="00E61FAD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</w:t>
      </w:r>
      <w:r w:rsidR="00C4194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ակերեսային բարելավման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նպաստավոր պայմանների ստեղծումը.</w:t>
      </w:r>
      <w:r w:rsidR="00E7553B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E7553B" w:rsidRPr="005D413B" w:rsidRDefault="00BB7951" w:rsidP="00E61FAD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Ո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րակական բնութագրեր</w:t>
      </w:r>
      <w:r w:rsidR="00C4194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ի,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բնապահպանական վիճակի վատթարացման կանխումը.</w:t>
      </w:r>
      <w:r w:rsidR="00E7553B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AD72E6" w:rsidRPr="005D413B" w:rsidRDefault="00BB7951" w:rsidP="00E61FAD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Ս</w:t>
      </w:r>
      <w:r w:rsidR="00C4194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անիտարական վիճակում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պահպանության </w:t>
      </w:r>
      <w:r w:rsidR="00C4194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նպաստումը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5D413B" w:rsidRDefault="00FC316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Մինչ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արոտ</w:t>
      </w:r>
      <w:r w:rsidR="00C4194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ավայրերի օգտագործումը կազմել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օգտագործմ</w:t>
      </w:r>
      <w:r w:rsidR="00C4194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ան պլան` հաշվի առնելով գյուղատն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տեսական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կենդանիների թվաքանակը և 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 բուսածածկ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ը: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 կայուն և արդյունավետ օգտագործման նպատակով</w:t>
      </w:r>
      <w:r w:rsidR="00FC316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կիրառվում է արոտավայրերի հերթափոխային արածեցում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` հետևյալ սկզբունքներով`</w:t>
      </w:r>
    </w:p>
    <w:p w:rsidR="00AD72E6" w:rsidRPr="005D413B" w:rsidRDefault="00FC3166" w:rsidP="00E61FA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մինչ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արոտային շրջանի սկսվելն ընդհանուր արոտավայրը բաժանվում է առանձին արոտամասերի (արոտաբաժինների), որոնք արածեցվում են որոշակի հերթականությամբ.</w:t>
      </w:r>
    </w:p>
    <w:p w:rsidR="00AD72E6" w:rsidRPr="005D413B" w:rsidRDefault="00FC3166" w:rsidP="00E61FA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յուրաքանչյուր տարի 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արածեցման 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հերթականությունը 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փոփոխվում է.</w:t>
      </w:r>
    </w:p>
    <w:p w:rsidR="00AD72E6" w:rsidRPr="005D413B" w:rsidRDefault="00FC3166" w:rsidP="00E61FA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նախորդ տարվա վերջում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արածեցված արոտամասը հաջորդ տարում չի արածեցվում, թողնվում է «հանգստի»:</w:t>
      </w:r>
    </w:p>
    <w:p w:rsidR="00AD72E6" w:rsidRPr="005D413B" w:rsidRDefault="005D6151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 տարի սահմանվում է ա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րոտային շրջանի սկիզբը և ավարտը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` հիմք ընդունե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լով տվ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յալ տարվա կլիմայական պայմանները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Արոտային շրջանի տևողությունը </w:t>
      </w:r>
      <w:r w:rsidR="003E4AD9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Արարատ</w:t>
      </w:r>
      <w:r w:rsidR="002A584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համայնքում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կազմում է` խոշոր եղջ</w:t>
      </w:r>
      <w:r w:rsidR="005D615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երավոր կենդանիների համար` 210-2</w:t>
      </w:r>
      <w:r w:rsidR="00BB795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4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0 օր, մանր եղջերավո</w:t>
      </w:r>
      <w:r w:rsidR="00BB795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ր կենդանիների համար` 270-300 օր, իսկ բարձր լեռնային գոտիներում 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համապատասխանաբար՝ 150-170 օր և 180-210 օր: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Միևնույն արոտատարածքում ամբողջական բոլորապտույտով արածեցումների թիվն ամբողջ արոտային շրջանում սահմանվում է`</w:t>
      </w:r>
    </w:p>
    <w:p w:rsidR="00D40335" w:rsidRPr="005D413B" w:rsidRDefault="00D40335" w:rsidP="008E1F7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իսա</w:t>
      </w:r>
      <w:r w:rsidR="00C33EB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նապատային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գոտիներում՝ 2-3 անգամ.</w:t>
      </w:r>
    </w:p>
    <w:p w:rsidR="008E1F7C" w:rsidRPr="005D413B" w:rsidRDefault="00D40335" w:rsidP="008E1F7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տափ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աստանային գոտիներում` 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3-4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անգամ.</w:t>
      </w:r>
    </w:p>
    <w:p w:rsidR="00AD72E6" w:rsidRPr="005D413B" w:rsidRDefault="00AD72E6" w:rsidP="00E61FA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 գոտիներում` 4-5 անգամ.</w:t>
      </w:r>
    </w:p>
    <w:p w:rsidR="00D40335" w:rsidRPr="005D413B" w:rsidRDefault="005D6151" w:rsidP="00211B4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 կ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ենդանիների արածեցումն սկսվում է գարնանը</w:t>
      </w:r>
      <w:r w:rsidR="00021D6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, բույսերի վերաճն սկսվելուց 15-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18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օր հետո, երբ արոտավայրում բույսերը հասել</w:t>
      </w:r>
      <w:r w:rsidR="00021D6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են հասունացման,</w:t>
      </w:r>
      <w:r w:rsidR="008E1F7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021D6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բույսերի 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</w:t>
      </w:r>
      <w:r w:rsidR="00211B42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թյունը հողի մակերեսից կազմում է</w:t>
      </w:r>
      <w:r w:rsidR="00D40335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D40335" w:rsidRPr="005D413B" w:rsidRDefault="00D40335" w:rsidP="00D4033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կիսա</w:t>
      </w:r>
      <w:r w:rsidR="00C33EB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նապատային գոտիներում՝ 6-8սմ </w:t>
      </w:r>
    </w:p>
    <w:p w:rsidR="00D40335" w:rsidRPr="005D413B" w:rsidRDefault="00D40335" w:rsidP="00D4033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տափաստանային գոտիներում` 10-12սմ.</w:t>
      </w:r>
    </w:p>
    <w:p w:rsidR="00AD72E6" w:rsidRPr="005D413B" w:rsidRDefault="009B7DC0" w:rsidP="00D4033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r w:rsidR="00D40335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գոտիներում` 12-15 սմ-ի.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Մեծ թեքություններում (15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  <w:vertAlign w:val="superscript"/>
        </w:rPr>
        <w:t>0</w:t>
      </w:r>
      <w:r w:rsidRPr="005D413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5D413B">
        <w:rPr>
          <w:rFonts w:ascii="GHEA Grapalat" w:eastAsia="Times New Roman" w:hAnsi="GHEA Grapalat" w:cs="Arial Unicode"/>
          <w:color w:val="000000"/>
          <w:sz w:val="24"/>
          <w:szCs w:val="24"/>
        </w:rPr>
        <w:t>և բարձր), որտեղ առկա է հողատարման (էրոզիա) վտանգ և բուսածածկը համեմատաբար թույլ է, արածեցումը կատարվում է սա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հմանված ժամկետից 10-12 օր անց:</w:t>
      </w:r>
    </w:p>
    <w:p w:rsidR="00AD72E6" w:rsidRPr="005D413B" w:rsidRDefault="00021D61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 կ</w:t>
      </w:r>
      <w:r w:rsidR="00AD72E6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ենդանիների արածեցման համար հատկացվող արոտատարածքի մակերեսը սահմանվում է` ելնելով արոտային թույլատրելի բեռնվածությունից:</w:t>
      </w:r>
    </w:p>
    <w:p w:rsidR="00351200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 թույլատրելի բեռնվածությունն արտահայտվում է մեկ հեկտարի վրա տեղաբաշխվող պայմանական անասնագլխաքանակով</w:t>
      </w:r>
      <w:r w:rsidR="00351200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C33EB1" w:rsidRPr="005D413B" w:rsidRDefault="00880CD8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 բեռնվածության որոշման նպատակով մեկ պայմանական կենդանու գլխաքանակի տարբեր գյուղատնտեսական կենդանիները հավասարեցվում են հետևյալ գործակիցներով՝</w:t>
      </w:r>
    </w:p>
    <w:p w:rsidR="00880CD8" w:rsidRPr="005D413B" w:rsidRDefault="00880CD8" w:rsidP="00880CD8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Կով, արտադրող ցուլ՝ 1.0</w:t>
      </w:r>
    </w:p>
    <w:p w:rsidR="00880CD8" w:rsidRPr="005D413B" w:rsidRDefault="00880CD8" w:rsidP="00880CD8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Խոշորեղջերավոր կենդանիների սեռահասակային այլ խմբերի կենդանի՝ 0.6</w:t>
      </w:r>
      <w:r w:rsidR="00152C7B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6</w:t>
      </w:r>
    </w:p>
    <w:p w:rsidR="00880CD8" w:rsidRPr="005D413B" w:rsidRDefault="00880CD8" w:rsidP="00880CD8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Մանր եղջերավոր կենդանի՝ 0.1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Մեկ պայմանական գլխաքանակի համար ամբողջ արոտային շրջանում անհրաժեշտ արոտատարածքը կազմում է`</w:t>
      </w:r>
    </w:p>
    <w:p w:rsidR="00351200" w:rsidRPr="005D413B" w:rsidRDefault="00351200" w:rsidP="00BC77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կիսա</w:t>
      </w:r>
      <w:r w:rsidR="00C33EB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նապատային գոտում՝ 6-7 հա.</w:t>
      </w:r>
    </w:p>
    <w:p w:rsidR="00351200" w:rsidRPr="005D413B" w:rsidRDefault="00351200" w:rsidP="00BC77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տափաստանային գոտում` 2-2.5 հա</w:t>
      </w:r>
    </w:p>
    <w:p w:rsidR="00351200" w:rsidRPr="005D413B" w:rsidRDefault="00351200" w:rsidP="00BC77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 գոտում` 1.5-1.7 հա.</w:t>
      </w:r>
    </w:p>
    <w:p w:rsidR="00AD72E6" w:rsidRPr="005D413B" w:rsidRDefault="00AD72E6" w:rsidP="003512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 արդյունավետ եղանակը հերթափոխային (համակարգված) արածեցումն է, որի կիրառման համար արոտատարածքը պետք է բաժանել արոտավանդակների, որոնց մեծությունը 100 պայմանական անասնագլխաքանակ ընդգրկող նախրի համար կազմում է`</w:t>
      </w:r>
    </w:p>
    <w:p w:rsidR="00BC7723" w:rsidRPr="005D413B" w:rsidRDefault="00BC7723" w:rsidP="00BC77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կիսա</w:t>
      </w:r>
      <w:r w:rsidR="00C33EB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նապատային </w:t>
      </w:r>
      <w:r w:rsidR="00BE258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՝ 40-60 հա.</w:t>
      </w:r>
    </w:p>
    <w:p w:rsidR="00BC7723" w:rsidRPr="005D413B" w:rsidRDefault="00BC7723" w:rsidP="00BC77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տափաստանային </w:t>
      </w:r>
      <w:r w:rsidR="00BE258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` 20-40 հա</w:t>
      </w:r>
    </w:p>
    <w:p w:rsidR="00BC7723" w:rsidRPr="005D413B" w:rsidRDefault="00BC7723" w:rsidP="00BC77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մարգագետնատափաստանային </w:t>
      </w:r>
      <w:r w:rsidR="00BE258C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` 20-30 հա.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 (համակարգված) արածեցման դեպքում ընդհանուր արոտատարածքը բաժանվում է հետևյալ թվով արոտավանդակների`</w:t>
      </w:r>
    </w:p>
    <w:p w:rsidR="00FE51D9" w:rsidRPr="005D413B" w:rsidRDefault="00FE51D9" w:rsidP="00FE51D9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կիսա</w:t>
      </w:r>
      <w:r w:rsidR="00C33EB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նապատային գոտում՝ 20-40.</w:t>
      </w:r>
    </w:p>
    <w:p w:rsidR="00FE51D9" w:rsidRPr="005D413B" w:rsidRDefault="00FE51D9" w:rsidP="00FE51D9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տափաստանային գոտում` 16-20.</w:t>
      </w:r>
    </w:p>
    <w:p w:rsidR="00FE51D9" w:rsidRPr="005D413B" w:rsidRDefault="00FE51D9" w:rsidP="00FE51D9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 գոտում` 12-16.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Արոտավանդակներն առաջինից մինչև վերջինը, ըստ տեղադրվածության, արածեցվում են սահմանված հերթականությամբ` մինչև բոլոր արոտավանդակների արածեցման ավարտը, որից հետո կենդանիները դարձյալ փոխադրվում են առաջին արոտավանդակ և սկսվում է արածեցման հաջորդ բոլորապտույտը` ըստ հերթականության: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Արածեցված արոտավայրերում բույսերի կայուն վերաճ ապահովելու նպատակով արածեցման երկրորդ բոլորապտույտը պետք է սկսել առաջին բոլորապտույտի ավարտից 20-25 օր հետո, հաջորդ բոլորապտույտները` 35-40 օր անց, իսկ արոտավանդակներում արածեցման տևողությունը պետք է կազմի առաջին բոլորապտույտում` 2-3 օր, հաջորդ բոլորապտույտներում` 3-5 օրից ոչ ավելի: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 կենդանիների մակատեղերը (գիշերավայրը) պետք է կառուցել` ջրելատեղերից 300-500 մ հեռավորության վրա: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Ջրելատեղերի հեռավորությունն արոտավայրից պետք է լինի հետևյալ հեռավորության վրա`</w:t>
      </w:r>
    </w:p>
    <w:p w:rsidR="00AD72E6" w:rsidRPr="005D413B" w:rsidRDefault="00AD72E6" w:rsidP="00E61FA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կթու կովերի համար` 1-1.5 կմ-ից ոչ ավելի.</w:t>
      </w:r>
    </w:p>
    <w:p w:rsidR="00AD72E6" w:rsidRPr="005D413B" w:rsidRDefault="00AD72E6" w:rsidP="00E61FA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բտվող խոշոր և մանր եղջերավոր կենդանիների համար` 1.5-2.5 կմ-ից ոչ ավելի: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Արոտավանդակների սահմանազատման նպատակով, որպես բնական սահմաններ, կարող են ծառայել արոտատարածքում առկա ձորակները, գետակները, հեղեղատները, թեքությունները, բացատները, թփուտները, ճանապարհները, իսկ դրանց բացակայության 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դեպքում անհրաժեշտ է օգտագործել շարժական ցանկապատեր, որոնցից առավել արդյունավետ են էլեկտրացանկապատերը: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Բնական խոտհարքներն</w:t>
      </w:r>
      <w:r w:rsidR="005910C2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տրամադրվում և օգտագործման են 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խոտհնձի նպատակով: Խոտհնձի լավագույն ժամկետ է սահմանվում բուսածածկում գերակշռող արժեքավոր հացազգի (դաշտավլուկազգի) խոտաբույսերի հասկակալումից մինչև ծաղկման, իսկ թիթեռնածաղկավոր (բակլազգի) խոտաբույսերի դեպքում` կոկոնակալումից մինչև ծաղկման փուլն ընկած ժամանակաշրջանը: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Բնական խոտհարքներում խոտհունձն իրականացվում է 7-10 օրվա ընթացքում, երբ խոտի բարձրությունը հողի մակերեսից կազմում է 4</w:t>
      </w:r>
      <w:r w:rsidR="002A584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0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-6</w:t>
      </w:r>
      <w:r w:rsidR="002A5841"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0</w:t>
      </w: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սմ:</w:t>
      </w:r>
    </w:p>
    <w:p w:rsidR="00AD72E6" w:rsidRPr="005D413B" w:rsidRDefault="00AD72E6" w:rsidP="00E61FA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GHEA Grapalat" w:eastAsia="Times New Roman" w:hAnsi="GHEA Grapalat" w:cs="Times New Roman"/>
          <w:color w:val="000000"/>
          <w:sz w:val="24"/>
          <w:szCs w:val="24"/>
        </w:rPr>
        <w:t>Բնական խոտհարքներում յուրաքանչյուր երրորդ տարում խոտհունձն իրականացվում է խոտհնձի սեզոնի վերջում` բույսերին սերմնակալման և բնական վերարտադրության հնարավորություն ընձեռելու նպատակով:</w:t>
      </w:r>
    </w:p>
    <w:p w:rsidR="00AD72E6" w:rsidRPr="005D413B" w:rsidRDefault="00AD72E6" w:rsidP="00AD72E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D413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E72282" w:rsidRPr="005D413B" w:rsidRDefault="00E72282">
      <w:pPr>
        <w:rPr>
          <w:rFonts w:ascii="GHEA Grapalat" w:hAnsi="GHEA Grapalat"/>
        </w:rPr>
      </w:pPr>
    </w:p>
    <w:p w:rsidR="00E61FAD" w:rsidRPr="005D413B" w:rsidRDefault="00E61FAD" w:rsidP="005D413B">
      <w:pPr>
        <w:tabs>
          <w:tab w:val="left" w:pos="1560"/>
        </w:tabs>
        <w:rPr>
          <w:rFonts w:ascii="GHEA Grapalat" w:hAnsi="GHEA Grapalat"/>
          <w:b/>
        </w:rPr>
      </w:pPr>
    </w:p>
    <w:p w:rsidR="00E61FAD" w:rsidRPr="005D413B" w:rsidRDefault="005910C2">
      <w:pPr>
        <w:rPr>
          <w:rFonts w:ascii="GHEA Grapalat" w:hAnsi="GHEA Grapalat"/>
        </w:rPr>
      </w:pPr>
      <w:r w:rsidRPr="005D413B">
        <w:rPr>
          <w:rFonts w:ascii="GHEA Grapalat" w:hAnsi="GHEA Grapalat"/>
        </w:rPr>
        <w:t xml:space="preserve">         </w:t>
      </w:r>
    </w:p>
    <w:sectPr w:rsidR="00E61FAD" w:rsidRPr="005D413B" w:rsidSect="00BC7723">
      <w:pgSz w:w="11909" w:h="16834" w:code="9"/>
      <w:pgMar w:top="547" w:right="749" w:bottom="99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D88"/>
    <w:multiLevelType w:val="hybridMultilevel"/>
    <w:tmpl w:val="2F2CFFF4"/>
    <w:lvl w:ilvl="0" w:tplc="AF8864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F0883312">
      <w:start w:val="1"/>
      <w:numFmt w:val="decimal"/>
      <w:lvlText w:val="%2)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003587B"/>
    <w:multiLevelType w:val="hybridMultilevel"/>
    <w:tmpl w:val="42726C7A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D4A2C21"/>
    <w:multiLevelType w:val="hybridMultilevel"/>
    <w:tmpl w:val="66486186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492C71A7"/>
    <w:multiLevelType w:val="hybridMultilevel"/>
    <w:tmpl w:val="DE0C31B0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560C5288"/>
    <w:multiLevelType w:val="hybridMultilevel"/>
    <w:tmpl w:val="CECCE3EE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8DC2A90"/>
    <w:multiLevelType w:val="hybridMultilevel"/>
    <w:tmpl w:val="EA7643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1">
      <w:start w:val="1"/>
      <w:numFmt w:val="decimal"/>
      <w:lvlText w:val="%2)"/>
      <w:lvlJc w:val="left"/>
      <w:pPr>
        <w:ind w:left="1815" w:hanging="360"/>
      </w:pPr>
    </w:lvl>
    <w:lvl w:ilvl="2" w:tplc="F0883312">
      <w:start w:val="1"/>
      <w:numFmt w:val="decimal"/>
      <w:lvlText w:val="%3)"/>
      <w:lvlJc w:val="left"/>
      <w:pPr>
        <w:ind w:left="27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76FC61DB"/>
    <w:multiLevelType w:val="hybridMultilevel"/>
    <w:tmpl w:val="AB7A03C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BEA0E51"/>
    <w:multiLevelType w:val="hybridMultilevel"/>
    <w:tmpl w:val="CF5211F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2E6"/>
    <w:rsid w:val="00021D61"/>
    <w:rsid w:val="00152C7B"/>
    <w:rsid w:val="00186788"/>
    <w:rsid w:val="001D5D27"/>
    <w:rsid w:val="00211B42"/>
    <w:rsid w:val="002A5841"/>
    <w:rsid w:val="003313BF"/>
    <w:rsid w:val="00351200"/>
    <w:rsid w:val="003D0CB9"/>
    <w:rsid w:val="003E4AD9"/>
    <w:rsid w:val="00567E91"/>
    <w:rsid w:val="005910C2"/>
    <w:rsid w:val="005D413B"/>
    <w:rsid w:val="005D6151"/>
    <w:rsid w:val="00666428"/>
    <w:rsid w:val="006B1F53"/>
    <w:rsid w:val="007D1204"/>
    <w:rsid w:val="00880CD8"/>
    <w:rsid w:val="008D295B"/>
    <w:rsid w:val="008E1F7C"/>
    <w:rsid w:val="009B7DC0"/>
    <w:rsid w:val="00AD72E6"/>
    <w:rsid w:val="00B054B6"/>
    <w:rsid w:val="00B87850"/>
    <w:rsid w:val="00BB7951"/>
    <w:rsid w:val="00BC7723"/>
    <w:rsid w:val="00BE258C"/>
    <w:rsid w:val="00C33EB1"/>
    <w:rsid w:val="00C41940"/>
    <w:rsid w:val="00D40335"/>
    <w:rsid w:val="00E3138B"/>
    <w:rsid w:val="00E61FAD"/>
    <w:rsid w:val="00E72282"/>
    <w:rsid w:val="00E7553B"/>
    <w:rsid w:val="00F36BD4"/>
    <w:rsid w:val="00F7463D"/>
    <w:rsid w:val="00FB283A"/>
    <w:rsid w:val="00FC3166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4F49"/>
  <w15:docId w15:val="{AFE253F9-A947-4EAF-9D2C-7C4E7B93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72E6"/>
    <w:rPr>
      <w:b/>
      <w:bCs/>
    </w:rPr>
  </w:style>
  <w:style w:type="paragraph" w:styleId="ListParagraph">
    <w:name w:val="List Paragraph"/>
    <w:basedOn w:val="Normal"/>
    <w:uiPriority w:val="34"/>
    <w:qFormat/>
    <w:rsid w:val="00E755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783F-706B-45AA-B374-015B2899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Aghayan</dc:creator>
  <cp:lastModifiedBy>user</cp:lastModifiedBy>
  <cp:revision>17</cp:revision>
  <cp:lastPrinted>2024-02-05T06:57:00Z</cp:lastPrinted>
  <dcterms:created xsi:type="dcterms:W3CDTF">2023-08-25T10:52:00Z</dcterms:created>
  <dcterms:modified xsi:type="dcterms:W3CDTF">2024-02-29T10:54:00Z</dcterms:modified>
</cp:coreProperties>
</file>